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ED" w:rsidRDefault="00EC20ED" w:rsidP="00EC20E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Ken Harrison </w:t>
      </w:r>
      <w:hyperlink r:id="rId5" w:history="1">
        <w:r>
          <w:rPr>
            <w:rStyle w:val="Hyperlink"/>
            <w:rFonts w:ascii="Tahoma" w:hAnsi="Tahoma" w:cs="Tahoma"/>
            <w:sz w:val="20"/>
            <w:szCs w:val="20"/>
          </w:rPr>
          <w:t>[mailto:kenharrison@sugarmansusskind.com]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14, 2012 6:01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Bates, Mark</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smartTag w:uri="urn:schemas-microsoft-com:office:smarttags" w:element="PersonName">
        <w:r>
          <w:rPr>
            <w:rFonts w:ascii="Tahoma" w:hAnsi="Tahoma" w:cs="Tahoma"/>
            <w:sz w:val="20"/>
            <w:szCs w:val="20"/>
          </w:rPr>
          <w:t>Jessica De la Torre</w:t>
        </w:r>
      </w:smartTag>
      <w:r>
        <w:rPr>
          <w:rFonts w:ascii="Tahoma" w:hAnsi="Tahoma" w:cs="Tahoma"/>
          <w:sz w:val="20"/>
          <w:szCs w:val="20"/>
        </w:rPr>
        <w:t>; Ansbro, Tom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smartTag w:uri="urn:schemas-microsoft-com:office:smarttags" w:element="place">
        <w:smartTag w:uri="urn:schemas-microsoft-com:office:smarttags" w:element="PlaceName">
          <w:r>
            <w:rPr>
              <w:rFonts w:ascii="Tahoma" w:hAnsi="Tahoma" w:cs="Tahoma"/>
              <w:sz w:val="20"/>
              <w:szCs w:val="20"/>
            </w:rPr>
            <w:t>Dania</w:t>
          </w:r>
        </w:smartTag>
        <w:r>
          <w:rPr>
            <w:rFonts w:ascii="Tahoma" w:hAnsi="Tahoma" w:cs="Tahoma"/>
            <w:sz w:val="20"/>
            <w:szCs w:val="20"/>
          </w:rPr>
          <w:t xml:space="preserve"> </w:t>
        </w:r>
        <w:smartTag w:uri="urn:schemas-microsoft-com:office:smarttags" w:element="PlaceType">
          <w:r>
            <w:rPr>
              <w:rFonts w:ascii="Tahoma" w:hAnsi="Tahoma" w:cs="Tahoma"/>
              <w:sz w:val="20"/>
              <w:szCs w:val="20"/>
            </w:rPr>
            <w:t>Beach</w:t>
          </w:r>
        </w:smartTag>
      </w:smartTag>
      <w:r>
        <w:rPr>
          <w:rFonts w:ascii="Tahoma" w:hAnsi="Tahoma" w:cs="Tahoma"/>
          <w:sz w:val="20"/>
          <w:szCs w:val="20"/>
        </w:rPr>
        <w:t xml:space="preserve"> General Pension plan</w:t>
      </w:r>
    </w:p>
    <w:p w:rsidR="00EC20ED" w:rsidRDefault="00EC20ED" w:rsidP="00EC20ED"/>
    <w:p w:rsidR="00EC20ED" w:rsidRDefault="00EC20ED" w:rsidP="00EC20ED">
      <w:pPr>
        <w:rPr>
          <w:rFonts w:ascii="Arial" w:hAnsi="Arial" w:cs="Arial"/>
          <w:sz w:val="20"/>
          <w:szCs w:val="20"/>
        </w:rPr>
      </w:pPr>
      <w:r>
        <w:rPr>
          <w:rFonts w:ascii="Arial" w:hAnsi="Arial" w:cs="Arial"/>
          <w:sz w:val="20"/>
          <w:szCs w:val="20"/>
        </w:rPr>
        <w:t>Mark</w:t>
      </w:r>
    </w:p>
    <w:p w:rsidR="00EC20ED" w:rsidRDefault="00EC20ED" w:rsidP="00EC20ED">
      <w:pPr>
        <w:rPr>
          <w:rFonts w:ascii="Arial" w:hAnsi="Arial" w:cs="Arial"/>
          <w:sz w:val="20"/>
          <w:szCs w:val="20"/>
        </w:rPr>
      </w:pPr>
      <w:r>
        <w:rPr>
          <w:rFonts w:ascii="Arial" w:hAnsi="Arial" w:cs="Arial"/>
          <w:sz w:val="20"/>
          <w:szCs w:val="20"/>
        </w:rPr>
        <w:t>The city attorney has asked that I contact you referenced the attached proposed ordinance amendments.</w:t>
      </w:r>
    </w:p>
    <w:p w:rsidR="00EC20ED" w:rsidRDefault="00EC20ED" w:rsidP="00EC20ED">
      <w:pPr>
        <w:rPr>
          <w:rFonts w:ascii="Arial" w:hAnsi="Arial" w:cs="Arial"/>
          <w:sz w:val="20"/>
          <w:szCs w:val="20"/>
        </w:rPr>
      </w:pPr>
      <w:r>
        <w:rPr>
          <w:rFonts w:ascii="Arial" w:hAnsi="Arial" w:cs="Arial"/>
          <w:sz w:val="20"/>
          <w:szCs w:val="20"/>
        </w:rPr>
        <w:t xml:space="preserve"> The first amendment clarifies that only members of the pension plan may stand for the elected participant </w:t>
      </w:r>
      <w:proofErr w:type="gramStart"/>
      <w:r>
        <w:rPr>
          <w:rFonts w:ascii="Arial" w:hAnsi="Arial" w:cs="Arial"/>
          <w:sz w:val="20"/>
          <w:szCs w:val="20"/>
        </w:rPr>
        <w:t>trustees</w:t>
      </w:r>
      <w:proofErr w:type="gramEnd"/>
      <w:r>
        <w:rPr>
          <w:rFonts w:ascii="Arial" w:hAnsi="Arial" w:cs="Arial"/>
          <w:sz w:val="20"/>
          <w:szCs w:val="20"/>
        </w:rPr>
        <w:t xml:space="preserve"> position and that after the plan participants falls below a certain number that retires may then hold office.</w:t>
      </w:r>
    </w:p>
    <w:p w:rsidR="00EC20ED" w:rsidRDefault="00EC20ED" w:rsidP="00EC20ED">
      <w:pPr>
        <w:rPr>
          <w:rFonts w:ascii="Arial" w:hAnsi="Arial" w:cs="Arial"/>
          <w:sz w:val="20"/>
          <w:szCs w:val="20"/>
        </w:rPr>
      </w:pPr>
      <w:r>
        <w:rPr>
          <w:rFonts w:ascii="Arial" w:hAnsi="Arial" w:cs="Arial"/>
          <w:sz w:val="20"/>
          <w:szCs w:val="20"/>
        </w:rPr>
        <w:t xml:space="preserve">The second amendment is the result of the Internal Revenue Service directing certain revisions in </w:t>
      </w:r>
      <w:proofErr w:type="spellStart"/>
      <w:r>
        <w:rPr>
          <w:rFonts w:ascii="Arial" w:hAnsi="Arial" w:cs="Arial"/>
          <w:sz w:val="20"/>
          <w:szCs w:val="20"/>
        </w:rPr>
        <w:t>odder</w:t>
      </w:r>
      <w:proofErr w:type="spellEnd"/>
      <w:r>
        <w:rPr>
          <w:rFonts w:ascii="Arial" w:hAnsi="Arial" w:cs="Arial"/>
          <w:sz w:val="20"/>
          <w:szCs w:val="20"/>
        </w:rPr>
        <w:t xml:space="preserve"> to retain the plan’s qualified status.</w:t>
      </w:r>
    </w:p>
    <w:p w:rsidR="00EC20ED" w:rsidRDefault="00EC20ED" w:rsidP="00EC20ED">
      <w:pPr>
        <w:rPr>
          <w:rFonts w:ascii="Arial" w:hAnsi="Arial" w:cs="Arial"/>
          <w:sz w:val="20"/>
          <w:szCs w:val="20"/>
        </w:rPr>
      </w:pPr>
      <w:r>
        <w:rPr>
          <w:rFonts w:ascii="Arial" w:hAnsi="Arial" w:cs="Arial"/>
          <w:sz w:val="20"/>
          <w:szCs w:val="20"/>
        </w:rPr>
        <w:t>These amendments should be enacted by the city commission as soon as possible so that the election for the participant trustee position may move forward and in order to comply with the IRS direction.</w:t>
      </w:r>
    </w:p>
    <w:p w:rsidR="00EC20ED" w:rsidRDefault="00EC20ED" w:rsidP="00EC20ED">
      <w:pPr>
        <w:rPr>
          <w:rFonts w:ascii="Arial" w:hAnsi="Arial" w:cs="Arial"/>
          <w:sz w:val="20"/>
          <w:szCs w:val="20"/>
        </w:rPr>
      </w:pPr>
    </w:p>
    <w:p w:rsidR="00EC20ED" w:rsidRDefault="00EC20ED" w:rsidP="00EC20ED">
      <w:pPr>
        <w:rPr>
          <w:rFonts w:ascii="Arial" w:hAnsi="Arial" w:cs="Arial"/>
          <w:sz w:val="20"/>
          <w:szCs w:val="20"/>
        </w:rPr>
      </w:pPr>
      <w:r>
        <w:rPr>
          <w:rFonts w:ascii="Arial" w:hAnsi="Arial" w:cs="Arial"/>
          <w:sz w:val="20"/>
          <w:szCs w:val="20"/>
        </w:rPr>
        <w:t>Please advise if you have questions</w:t>
      </w:r>
    </w:p>
    <w:p w:rsidR="00EC20ED" w:rsidRDefault="00EC20ED" w:rsidP="00EC20ED">
      <w:pPr>
        <w:rPr>
          <w:rFonts w:ascii="Arial" w:hAnsi="Arial" w:cs="Arial"/>
          <w:sz w:val="20"/>
          <w:szCs w:val="20"/>
        </w:rPr>
      </w:pPr>
    </w:p>
    <w:p w:rsidR="00EC20ED" w:rsidRDefault="00EC20ED" w:rsidP="00EC20ED">
      <w:pPr>
        <w:spacing w:before="100" w:beforeAutospacing="1" w:after="100" w:afterAutospacing="1"/>
        <w:rPr>
          <w:lang w:val="es-EC"/>
        </w:rPr>
      </w:pPr>
      <w:r>
        <w:rPr>
          <w:lang w:val="es-EC"/>
        </w:rPr>
        <w:t> </w:t>
      </w:r>
    </w:p>
    <w:p w:rsidR="00EC20ED" w:rsidRDefault="00EC20ED" w:rsidP="00EC20ED">
      <w:r>
        <w:rPr>
          <w:rFonts w:ascii="Arial" w:hAnsi="Arial" w:cs="Arial"/>
          <w:sz w:val="27"/>
          <w:szCs w:val="27"/>
        </w:rPr>
        <w:t>Kenneth R. Harrison, Sr.</w:t>
      </w:r>
    </w:p>
    <w:p w:rsidR="00EC20ED" w:rsidRDefault="00EC20ED" w:rsidP="00EC20ED">
      <w:pPr>
        <w:rPr>
          <w:rFonts w:eastAsia="Times New Roman"/>
        </w:rPr>
      </w:pPr>
      <w:r>
        <w:rPr>
          <w:rFonts w:eastAsia="Times New Roman"/>
        </w:rPr>
        <w:pict>
          <v:rect id="_x0000_i1025" style="width:187.5pt;height:3pt" o:hrpct="0" o:hrstd="t" o:hr="t" fillcolor="#aca899" stroked="f"/>
        </w:pict>
      </w:r>
    </w:p>
    <w:p w:rsidR="00EC20ED" w:rsidRDefault="00EC20ED" w:rsidP="00EC20ED">
      <w:proofErr w:type="gramStart"/>
      <w:r>
        <w:rPr>
          <w:rFonts w:ascii="Century Gothic" w:hAnsi="Century Gothic"/>
          <w:sz w:val="27"/>
          <w:szCs w:val="27"/>
        </w:rPr>
        <w:t>SUGARMAN &amp; SUSSKIND, P.A.</w:t>
      </w:r>
      <w:proofErr w:type="gramEnd"/>
      <w:r>
        <w:t xml:space="preserve"> </w:t>
      </w:r>
    </w:p>
    <w:p w:rsidR="00E30D3F" w:rsidRDefault="00EC20ED">
      <w:bookmarkStart w:id="0" w:name="_GoBack"/>
      <w:bookmarkEnd w:id="0"/>
    </w:p>
    <w:sectPr w:rsidR="00E30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ED"/>
    <w:rsid w:val="0076071F"/>
    <w:rsid w:val="00EB5A13"/>
    <w:rsid w:val="00EC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0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633440">
      <w:bodyDiv w:val="1"/>
      <w:marLeft w:val="0"/>
      <w:marRight w:val="0"/>
      <w:marTop w:val="0"/>
      <w:marBottom w:val="0"/>
      <w:divBdr>
        <w:top w:val="none" w:sz="0" w:space="0" w:color="auto"/>
        <w:left w:val="none" w:sz="0" w:space="0" w:color="auto"/>
        <w:bottom w:val="none" w:sz="0" w:space="0" w:color="auto"/>
        <w:right w:val="none" w:sz="0" w:space="0" w:color="auto"/>
      </w:divBdr>
      <w:divsChild>
        <w:div w:id="139219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5bmailto:kenharrison@sugarmansusskind.com%5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Mark</dc:creator>
  <cp:keywords/>
  <dc:description/>
  <cp:lastModifiedBy>Bates, Mark</cp:lastModifiedBy>
  <cp:revision>1</cp:revision>
  <dcterms:created xsi:type="dcterms:W3CDTF">2012-08-17T13:17:00Z</dcterms:created>
  <dcterms:modified xsi:type="dcterms:W3CDTF">2012-08-17T13:18:00Z</dcterms:modified>
</cp:coreProperties>
</file>